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DE8" w:rsidRPr="000D6F89" w:rsidRDefault="00D14DE8" w:rsidP="000D6F89">
      <w:pPr>
        <w:pStyle w:val="ab"/>
        <w:spacing w:line="280" w:lineRule="exact"/>
        <w:ind w:firstLineChars="0" w:firstLine="0"/>
        <w:rPr>
          <w:rFonts w:ascii="微软雅黑" w:eastAsia="微软雅黑" w:hAnsi="微软雅黑" w:cs="宋体" w:hint="eastAsia"/>
          <w:sz w:val="24"/>
          <w:szCs w:val="24"/>
        </w:rPr>
      </w:pPr>
    </w:p>
    <w:p w:rsidR="00D14DE8" w:rsidRPr="000D6F89" w:rsidRDefault="00C723D0" w:rsidP="000D6F89">
      <w:pPr>
        <w:pStyle w:val="a6"/>
        <w:spacing w:line="280" w:lineRule="exact"/>
        <w:rPr>
          <w:rFonts w:ascii="微软雅黑" w:eastAsia="微软雅黑" w:hAnsi="微软雅黑" w:hint="default"/>
          <w:sz w:val="24"/>
          <w:szCs w:val="24"/>
        </w:rPr>
      </w:pPr>
      <w:r w:rsidRPr="000D6F89">
        <w:rPr>
          <w:rFonts w:ascii="微软雅黑" w:eastAsia="微软雅黑" w:hAnsi="微软雅黑"/>
          <w:sz w:val="24"/>
          <w:szCs w:val="24"/>
        </w:rPr>
        <w:t>中华人民共和国最高人民法院</w:t>
      </w:r>
    </w:p>
    <w:p w:rsidR="00D14DE8" w:rsidRPr="000D6F89" w:rsidRDefault="00C723D0" w:rsidP="000D6F89">
      <w:pPr>
        <w:pStyle w:val="a6"/>
        <w:spacing w:line="280" w:lineRule="exact"/>
        <w:rPr>
          <w:rFonts w:ascii="微软雅黑" w:eastAsia="微软雅黑" w:hAnsi="微软雅黑" w:hint="default"/>
          <w:sz w:val="24"/>
          <w:szCs w:val="24"/>
        </w:rPr>
      </w:pPr>
      <w:r w:rsidRPr="000D6F89">
        <w:rPr>
          <w:rFonts w:ascii="微软雅黑" w:eastAsia="微软雅黑" w:hAnsi="微软雅黑"/>
          <w:sz w:val="24"/>
          <w:szCs w:val="24"/>
        </w:rPr>
        <w:t>公</w:t>
      </w:r>
      <w:r w:rsidRPr="000D6F89">
        <w:rPr>
          <w:rFonts w:ascii="微软雅黑" w:eastAsia="微软雅黑" w:hAnsi="微软雅黑"/>
          <w:sz w:val="24"/>
          <w:szCs w:val="24"/>
        </w:rPr>
        <w:t xml:space="preserve">    </w:t>
      </w:r>
      <w:r w:rsidRPr="000D6F89">
        <w:rPr>
          <w:rFonts w:ascii="微软雅黑" w:eastAsia="微软雅黑" w:hAnsi="微软雅黑"/>
          <w:sz w:val="24"/>
          <w:szCs w:val="24"/>
        </w:rPr>
        <w:t>告</w:t>
      </w:r>
    </w:p>
    <w:p w:rsidR="00D14DE8" w:rsidRPr="000D6F89" w:rsidRDefault="00D14DE8" w:rsidP="000D6F89">
      <w:pPr>
        <w:pStyle w:val="ab"/>
        <w:spacing w:line="280" w:lineRule="exact"/>
        <w:ind w:firstLine="480"/>
        <w:rPr>
          <w:rFonts w:ascii="微软雅黑" w:eastAsia="微软雅黑" w:hAnsi="微软雅黑" w:cs="宋体"/>
          <w:sz w:val="24"/>
          <w:szCs w:val="24"/>
        </w:rPr>
      </w:pPr>
    </w:p>
    <w:p w:rsidR="00D14DE8" w:rsidRPr="000D6F89" w:rsidRDefault="00C723D0" w:rsidP="000D6F89">
      <w:pPr>
        <w:pStyle w:val="ab"/>
        <w:spacing w:line="2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根据《中华人民共和国香港特别行政区基本法》第九十五条的规定，最高人民法院与香港特别行政区经协商，达成《关于内地与香港特别行政区法院就民商事案件相互委托提取证据的安排》（以下简称《安排》），并于</w:t>
      </w:r>
      <w:r w:rsidRPr="000D6F89">
        <w:rPr>
          <w:rFonts w:ascii="微软雅黑" w:eastAsia="微软雅黑" w:hAnsi="微软雅黑" w:hint="eastAsia"/>
          <w:sz w:val="24"/>
          <w:szCs w:val="24"/>
        </w:rPr>
        <w:t>2016</w:t>
      </w:r>
      <w:r w:rsidRPr="000D6F89">
        <w:rPr>
          <w:rFonts w:ascii="微软雅黑" w:eastAsia="微软雅黑" w:hAnsi="微软雅黑" w:hint="eastAsia"/>
          <w:sz w:val="24"/>
          <w:szCs w:val="24"/>
        </w:rPr>
        <w:t>年</w:t>
      </w:r>
      <w:r w:rsidRPr="000D6F89">
        <w:rPr>
          <w:rFonts w:ascii="微软雅黑" w:eastAsia="微软雅黑" w:hAnsi="微软雅黑" w:hint="eastAsia"/>
          <w:sz w:val="24"/>
          <w:szCs w:val="24"/>
        </w:rPr>
        <w:t>12</w:t>
      </w:r>
      <w:r w:rsidRPr="000D6F89">
        <w:rPr>
          <w:rFonts w:ascii="微软雅黑" w:eastAsia="微软雅黑" w:hAnsi="微软雅黑" w:hint="eastAsia"/>
          <w:sz w:val="24"/>
          <w:szCs w:val="24"/>
        </w:rPr>
        <w:t>月</w:t>
      </w:r>
      <w:r w:rsidRPr="000D6F89">
        <w:rPr>
          <w:rFonts w:ascii="微软雅黑" w:eastAsia="微软雅黑" w:hAnsi="微软雅黑" w:hint="eastAsia"/>
          <w:sz w:val="24"/>
          <w:szCs w:val="24"/>
        </w:rPr>
        <w:t>29</w:t>
      </w:r>
      <w:r w:rsidRPr="000D6F89">
        <w:rPr>
          <w:rFonts w:ascii="微软雅黑" w:eastAsia="微软雅黑" w:hAnsi="微软雅黑" w:hint="eastAsia"/>
          <w:sz w:val="24"/>
          <w:szCs w:val="24"/>
        </w:rPr>
        <w:t>日签署。本《安排》已于</w:t>
      </w:r>
      <w:r w:rsidRPr="000D6F89">
        <w:rPr>
          <w:rFonts w:ascii="微软雅黑" w:eastAsia="微软雅黑" w:hAnsi="微软雅黑" w:hint="eastAsia"/>
          <w:sz w:val="24"/>
          <w:szCs w:val="24"/>
        </w:rPr>
        <w:t>2016</w:t>
      </w:r>
      <w:r w:rsidRPr="000D6F89">
        <w:rPr>
          <w:rFonts w:ascii="微软雅黑" w:eastAsia="微软雅黑" w:hAnsi="微软雅黑" w:hint="eastAsia"/>
          <w:sz w:val="24"/>
          <w:szCs w:val="24"/>
        </w:rPr>
        <w:t>年</w:t>
      </w:r>
      <w:r w:rsidRPr="000D6F89">
        <w:rPr>
          <w:rFonts w:ascii="微软雅黑" w:eastAsia="微软雅黑" w:hAnsi="微软雅黑" w:hint="eastAsia"/>
          <w:sz w:val="24"/>
          <w:szCs w:val="24"/>
        </w:rPr>
        <w:t>10</w:t>
      </w:r>
      <w:r w:rsidRPr="000D6F89">
        <w:rPr>
          <w:rFonts w:ascii="微软雅黑" w:eastAsia="微软雅黑" w:hAnsi="微软雅黑" w:hint="eastAsia"/>
          <w:sz w:val="24"/>
          <w:szCs w:val="24"/>
        </w:rPr>
        <w:t>月</w:t>
      </w:r>
      <w:r w:rsidRPr="000D6F89">
        <w:rPr>
          <w:rFonts w:ascii="微软雅黑" w:eastAsia="微软雅黑" w:hAnsi="微软雅黑" w:hint="eastAsia"/>
          <w:sz w:val="24"/>
          <w:szCs w:val="24"/>
        </w:rPr>
        <w:t>31</w:t>
      </w:r>
      <w:r w:rsidRPr="000D6F89">
        <w:rPr>
          <w:rFonts w:ascii="微软雅黑" w:eastAsia="微软雅黑" w:hAnsi="微软雅黑" w:hint="eastAsia"/>
          <w:sz w:val="24"/>
          <w:szCs w:val="24"/>
        </w:rPr>
        <w:t>日由最高人民法院审判委员会第</w:t>
      </w:r>
      <w:r w:rsidRPr="000D6F89">
        <w:rPr>
          <w:rFonts w:ascii="微软雅黑" w:eastAsia="微软雅黑" w:hAnsi="微软雅黑" w:hint="eastAsia"/>
          <w:sz w:val="24"/>
          <w:szCs w:val="24"/>
        </w:rPr>
        <w:t>1697</w:t>
      </w:r>
      <w:r w:rsidRPr="000D6F89">
        <w:rPr>
          <w:rFonts w:ascii="微软雅黑" w:eastAsia="微软雅黑" w:hAnsi="微软雅黑" w:hint="eastAsia"/>
          <w:sz w:val="24"/>
          <w:szCs w:val="24"/>
        </w:rPr>
        <w:t>次会议通过，现予公布。根据双方一致意见，本《安排》自</w:t>
      </w:r>
      <w:r w:rsidRPr="000D6F89">
        <w:rPr>
          <w:rFonts w:ascii="微软雅黑" w:eastAsia="微软雅黑" w:hAnsi="微软雅黑" w:hint="eastAsia"/>
          <w:sz w:val="24"/>
          <w:szCs w:val="24"/>
        </w:rPr>
        <w:t>2017</w:t>
      </w:r>
      <w:r w:rsidRPr="000D6F89">
        <w:rPr>
          <w:rFonts w:ascii="微软雅黑" w:eastAsia="微软雅黑" w:hAnsi="微软雅黑" w:hint="eastAsia"/>
          <w:sz w:val="24"/>
          <w:szCs w:val="24"/>
        </w:rPr>
        <w:t>年</w:t>
      </w:r>
      <w:r w:rsidRPr="000D6F89">
        <w:rPr>
          <w:rFonts w:ascii="微软雅黑" w:eastAsia="微软雅黑" w:hAnsi="微软雅黑" w:hint="eastAsia"/>
          <w:sz w:val="24"/>
          <w:szCs w:val="24"/>
        </w:rPr>
        <w:t>3</w:t>
      </w:r>
      <w:r w:rsidRPr="000D6F89">
        <w:rPr>
          <w:rFonts w:ascii="微软雅黑" w:eastAsia="微软雅黑" w:hAnsi="微软雅黑" w:hint="eastAsia"/>
          <w:sz w:val="24"/>
          <w:szCs w:val="24"/>
        </w:rPr>
        <w:t>月</w:t>
      </w:r>
      <w:r w:rsidRPr="000D6F89">
        <w:rPr>
          <w:rFonts w:ascii="微软雅黑" w:eastAsia="微软雅黑" w:hAnsi="微软雅黑" w:hint="eastAsia"/>
          <w:sz w:val="24"/>
          <w:szCs w:val="24"/>
        </w:rPr>
        <w:t>1</w:t>
      </w:r>
      <w:r w:rsidRPr="000D6F89">
        <w:rPr>
          <w:rFonts w:ascii="微软雅黑" w:eastAsia="微软雅黑" w:hAnsi="微软雅黑" w:hint="eastAsia"/>
          <w:sz w:val="24"/>
          <w:szCs w:val="24"/>
        </w:rPr>
        <w:t>日起生效。</w:t>
      </w:r>
    </w:p>
    <w:p w:rsidR="00D14DE8" w:rsidRPr="000D6F89" w:rsidRDefault="00D14DE8" w:rsidP="000D6F89">
      <w:pPr>
        <w:pStyle w:val="ab"/>
        <w:spacing w:line="280" w:lineRule="exact"/>
        <w:ind w:firstLine="480"/>
        <w:rPr>
          <w:rFonts w:ascii="微软雅黑" w:eastAsia="微软雅黑" w:hAnsi="微软雅黑" w:cs="宋体"/>
          <w:sz w:val="24"/>
          <w:szCs w:val="24"/>
        </w:rPr>
      </w:pPr>
    </w:p>
    <w:p w:rsidR="00D14DE8" w:rsidRPr="000D6F89" w:rsidRDefault="00D14DE8" w:rsidP="000D6F89">
      <w:pPr>
        <w:pStyle w:val="ab"/>
        <w:spacing w:line="280" w:lineRule="exact"/>
        <w:ind w:firstLineChars="0" w:firstLine="0"/>
        <w:rPr>
          <w:rFonts w:ascii="微软雅黑" w:eastAsia="微软雅黑" w:hAnsi="微软雅黑" w:cs="宋体" w:hint="eastAsia"/>
          <w:sz w:val="24"/>
          <w:szCs w:val="24"/>
        </w:rPr>
      </w:pPr>
    </w:p>
    <w:p w:rsidR="00D14DE8" w:rsidRPr="000D6F89" w:rsidRDefault="00C723D0" w:rsidP="000D6F89">
      <w:pPr>
        <w:pStyle w:val="a9"/>
        <w:spacing w:line="280" w:lineRule="exact"/>
        <w:rPr>
          <w:rFonts w:ascii="微软雅黑" w:eastAsia="微软雅黑" w:hAnsi="微软雅黑"/>
          <w:sz w:val="24"/>
          <w:szCs w:val="24"/>
        </w:rPr>
      </w:pPr>
      <w:r w:rsidRPr="000D6F89">
        <w:rPr>
          <w:rFonts w:ascii="微软雅黑" w:eastAsia="微软雅黑" w:hAnsi="微软雅黑" w:hint="eastAsia"/>
          <w:sz w:val="24"/>
          <w:szCs w:val="24"/>
        </w:rPr>
        <w:t>2017</w:t>
      </w:r>
      <w:r w:rsidRPr="000D6F89">
        <w:rPr>
          <w:rFonts w:ascii="微软雅黑" w:eastAsia="微软雅黑" w:hAnsi="微软雅黑" w:hint="eastAsia"/>
          <w:sz w:val="24"/>
          <w:szCs w:val="24"/>
        </w:rPr>
        <w:t>年</w:t>
      </w:r>
      <w:r w:rsidRPr="000D6F89">
        <w:rPr>
          <w:rFonts w:ascii="微软雅黑" w:eastAsia="微软雅黑" w:hAnsi="微软雅黑" w:hint="eastAsia"/>
          <w:sz w:val="24"/>
          <w:szCs w:val="24"/>
        </w:rPr>
        <w:t>2</w:t>
      </w:r>
      <w:r w:rsidRPr="000D6F89">
        <w:rPr>
          <w:rFonts w:ascii="微软雅黑" w:eastAsia="微软雅黑" w:hAnsi="微软雅黑" w:hint="eastAsia"/>
          <w:sz w:val="24"/>
          <w:szCs w:val="24"/>
        </w:rPr>
        <w:t>月</w:t>
      </w:r>
      <w:r w:rsidRPr="000D6F89">
        <w:rPr>
          <w:rFonts w:ascii="微软雅黑" w:eastAsia="微软雅黑" w:hAnsi="微软雅黑" w:hint="eastAsia"/>
          <w:sz w:val="24"/>
          <w:szCs w:val="24"/>
        </w:rPr>
        <w:t>27</w:t>
      </w:r>
      <w:r w:rsidRPr="000D6F89">
        <w:rPr>
          <w:rFonts w:ascii="微软雅黑" w:eastAsia="微软雅黑" w:hAnsi="微软雅黑" w:hint="eastAsia"/>
          <w:sz w:val="24"/>
          <w:szCs w:val="24"/>
        </w:rPr>
        <w:t>日</w:t>
      </w:r>
    </w:p>
    <w:p w:rsidR="00D14DE8" w:rsidRDefault="00D14DE8" w:rsidP="000D6F89">
      <w:pPr>
        <w:pStyle w:val="ab"/>
        <w:pBdr>
          <w:bottom w:val="single" w:sz="6" w:space="1" w:color="auto"/>
        </w:pBdr>
        <w:spacing w:line="280" w:lineRule="exact"/>
        <w:ind w:firstLine="480"/>
        <w:rPr>
          <w:rFonts w:ascii="微软雅黑" w:eastAsia="微软雅黑" w:hAnsi="微软雅黑" w:cs="宋体"/>
          <w:sz w:val="24"/>
          <w:szCs w:val="24"/>
        </w:rPr>
      </w:pPr>
    </w:p>
    <w:p w:rsidR="000D6F89" w:rsidRDefault="000D6F89" w:rsidP="000D6F89">
      <w:pPr>
        <w:pStyle w:val="ab"/>
        <w:spacing w:line="280" w:lineRule="exact"/>
        <w:ind w:firstLine="480"/>
        <w:rPr>
          <w:rFonts w:ascii="微软雅黑" w:eastAsia="微软雅黑" w:hAnsi="微软雅黑" w:cs="宋体" w:hint="eastAsia"/>
          <w:sz w:val="24"/>
          <w:szCs w:val="24"/>
        </w:rPr>
      </w:pPr>
    </w:p>
    <w:p w:rsidR="000D6F89" w:rsidRPr="000D6F89" w:rsidRDefault="000D6F89" w:rsidP="000D6F89">
      <w:pPr>
        <w:pStyle w:val="ab"/>
        <w:spacing w:line="280" w:lineRule="exact"/>
        <w:ind w:firstLine="480"/>
        <w:rPr>
          <w:rFonts w:ascii="微软雅黑" w:eastAsia="微软雅黑" w:hAnsi="微软雅黑" w:cs="宋体" w:hint="eastAsia"/>
          <w:sz w:val="24"/>
          <w:szCs w:val="24"/>
        </w:rPr>
      </w:pPr>
    </w:p>
    <w:p w:rsidR="00D14DE8" w:rsidRPr="000D6F89" w:rsidRDefault="00C723D0" w:rsidP="000D6F89">
      <w:pPr>
        <w:pStyle w:val="a6"/>
        <w:spacing w:line="600" w:lineRule="exact"/>
        <w:rPr>
          <w:rFonts w:ascii="微软雅黑" w:eastAsia="微软雅黑" w:hAnsi="微软雅黑" w:hint="default"/>
          <w:b/>
          <w:bCs/>
          <w:color w:val="7030A0"/>
          <w:sz w:val="40"/>
          <w:szCs w:val="40"/>
        </w:rPr>
      </w:pPr>
      <w:r w:rsidRPr="000D6F89">
        <w:rPr>
          <w:rFonts w:ascii="微软雅黑" w:eastAsia="微软雅黑" w:hAnsi="微软雅黑"/>
          <w:b/>
          <w:bCs/>
          <w:color w:val="7030A0"/>
          <w:sz w:val="40"/>
          <w:szCs w:val="40"/>
        </w:rPr>
        <w:t>最高人民法院</w:t>
      </w:r>
    </w:p>
    <w:p w:rsidR="00D14DE8" w:rsidRPr="000D6F89" w:rsidRDefault="00C723D0" w:rsidP="000D6F89">
      <w:pPr>
        <w:pStyle w:val="a6"/>
        <w:spacing w:line="600" w:lineRule="exact"/>
        <w:rPr>
          <w:rFonts w:ascii="微软雅黑" w:eastAsia="微软雅黑" w:hAnsi="微软雅黑" w:hint="default"/>
          <w:b/>
          <w:bCs/>
          <w:color w:val="7030A0"/>
          <w:sz w:val="40"/>
          <w:szCs w:val="40"/>
        </w:rPr>
      </w:pPr>
      <w:r w:rsidRPr="000D6F89">
        <w:rPr>
          <w:rFonts w:ascii="微软雅黑" w:eastAsia="微软雅黑" w:hAnsi="微软雅黑"/>
          <w:b/>
          <w:bCs/>
          <w:color w:val="7030A0"/>
          <w:sz w:val="40"/>
          <w:szCs w:val="40"/>
        </w:rPr>
        <w:t>关于内地与香港特别行政区法院</w:t>
      </w:r>
    </w:p>
    <w:p w:rsidR="00D14DE8" w:rsidRPr="000D6F89" w:rsidRDefault="00C723D0" w:rsidP="000D6F89">
      <w:pPr>
        <w:pStyle w:val="a6"/>
        <w:spacing w:line="600" w:lineRule="exact"/>
        <w:rPr>
          <w:rFonts w:ascii="微软雅黑" w:eastAsia="微软雅黑" w:hAnsi="微软雅黑" w:hint="default"/>
          <w:b/>
          <w:bCs/>
          <w:color w:val="7030A0"/>
          <w:sz w:val="40"/>
          <w:szCs w:val="40"/>
        </w:rPr>
      </w:pPr>
      <w:r w:rsidRPr="000D6F89">
        <w:rPr>
          <w:rFonts w:ascii="微软雅黑" w:eastAsia="微软雅黑" w:hAnsi="微软雅黑"/>
          <w:b/>
          <w:bCs/>
          <w:color w:val="7030A0"/>
          <w:sz w:val="40"/>
          <w:szCs w:val="40"/>
        </w:rPr>
        <w:t>就民商事案件相互委托提取证据的安排</w:t>
      </w:r>
    </w:p>
    <w:p w:rsidR="00D14DE8" w:rsidRDefault="00D14DE8" w:rsidP="000D6F89">
      <w:pPr>
        <w:pStyle w:val="ab"/>
        <w:spacing w:line="280" w:lineRule="exact"/>
        <w:ind w:firstLine="480"/>
        <w:rPr>
          <w:rFonts w:ascii="微软雅黑" w:eastAsia="微软雅黑" w:hAnsi="微软雅黑" w:cs="宋体"/>
          <w:sz w:val="24"/>
          <w:szCs w:val="24"/>
        </w:rPr>
      </w:pPr>
    </w:p>
    <w:p w:rsidR="000D6F89" w:rsidRDefault="000D6F89" w:rsidP="000D6F89">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017-03-01</w:t>
      </w:r>
    </w:p>
    <w:p w:rsidR="000D6F89" w:rsidRPr="000D6F89" w:rsidRDefault="000D6F89" w:rsidP="000D6F89">
      <w:pPr>
        <w:pStyle w:val="ab"/>
        <w:spacing w:line="280" w:lineRule="exact"/>
        <w:ind w:firstLine="480"/>
        <w:rPr>
          <w:rFonts w:ascii="微软雅黑" w:eastAsia="微软雅黑" w:hAnsi="微软雅黑" w:cs="宋体" w:hint="eastAsia"/>
          <w:sz w:val="24"/>
          <w:szCs w:val="24"/>
        </w:rPr>
      </w:pPr>
    </w:p>
    <w:p w:rsidR="00D14DE8" w:rsidRPr="000D6F89" w:rsidRDefault="00C723D0" w:rsidP="000D6F89">
      <w:pPr>
        <w:pStyle w:val="af2"/>
        <w:spacing w:line="280" w:lineRule="exact"/>
        <w:rPr>
          <w:rFonts w:ascii="微软雅黑" w:eastAsia="微软雅黑" w:hAnsi="微软雅黑"/>
          <w:sz w:val="24"/>
          <w:szCs w:val="24"/>
        </w:rPr>
      </w:pPr>
      <w:r w:rsidRPr="000D6F89">
        <w:rPr>
          <w:rFonts w:ascii="微软雅黑" w:eastAsia="微软雅黑" w:hAnsi="微软雅黑" w:hint="eastAsia"/>
          <w:sz w:val="24"/>
          <w:szCs w:val="24"/>
        </w:rPr>
        <w:t>法释〔</w:t>
      </w:r>
      <w:r w:rsidRPr="000D6F89">
        <w:rPr>
          <w:rFonts w:ascii="微软雅黑" w:eastAsia="微软雅黑" w:hAnsi="微软雅黑" w:hint="eastAsia"/>
          <w:sz w:val="24"/>
          <w:szCs w:val="24"/>
        </w:rPr>
        <w:t>2017</w:t>
      </w:r>
      <w:r w:rsidRPr="000D6F89">
        <w:rPr>
          <w:rFonts w:ascii="微软雅黑" w:eastAsia="微软雅黑" w:hAnsi="微软雅黑" w:hint="eastAsia"/>
          <w:sz w:val="24"/>
          <w:szCs w:val="24"/>
        </w:rPr>
        <w:t>〕</w:t>
      </w:r>
      <w:r w:rsidRPr="000D6F89">
        <w:rPr>
          <w:rFonts w:ascii="微软雅黑" w:eastAsia="微软雅黑" w:hAnsi="微软雅黑" w:hint="eastAsia"/>
          <w:sz w:val="24"/>
          <w:szCs w:val="24"/>
        </w:rPr>
        <w:t>4</w:t>
      </w:r>
      <w:r w:rsidRPr="000D6F89">
        <w:rPr>
          <w:rFonts w:ascii="微软雅黑" w:eastAsia="微软雅黑" w:hAnsi="微软雅黑" w:hint="eastAsia"/>
          <w:sz w:val="24"/>
          <w:szCs w:val="24"/>
        </w:rPr>
        <w:t>号</w:t>
      </w:r>
    </w:p>
    <w:p w:rsidR="00D14DE8" w:rsidRPr="000D6F89" w:rsidRDefault="00D14DE8" w:rsidP="000D6F89">
      <w:pPr>
        <w:pStyle w:val="ab"/>
        <w:spacing w:line="380" w:lineRule="exact"/>
        <w:ind w:firstLine="480"/>
        <w:rPr>
          <w:rFonts w:ascii="微软雅黑" w:eastAsia="微软雅黑" w:hAnsi="微软雅黑" w:cs="宋体"/>
          <w:sz w:val="24"/>
          <w:szCs w:val="24"/>
        </w:rPr>
      </w:pP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0D6F89">
        <w:rPr>
          <w:rFonts w:ascii="微软雅黑" w:eastAsia="微软雅黑" w:hAnsi="微软雅黑" w:hint="eastAsia"/>
          <w:sz w:val="24"/>
          <w:szCs w:val="24"/>
        </w:rPr>
        <w:t>根据《中华人民共和国香港特别行政区基本法》第九十五条的规定，最高人民法院与香港特别行政区经协商，就民商事案件相互委托提取证据问题</w:t>
      </w:r>
      <w:proofErr w:type="gramStart"/>
      <w:r w:rsidRPr="000D6F89">
        <w:rPr>
          <w:rFonts w:ascii="微软雅黑" w:eastAsia="微软雅黑" w:hAnsi="微软雅黑" w:hint="eastAsia"/>
          <w:sz w:val="24"/>
          <w:szCs w:val="24"/>
        </w:rPr>
        <w:t>作出</w:t>
      </w:r>
      <w:proofErr w:type="gramEnd"/>
      <w:r w:rsidRPr="000D6F89">
        <w:rPr>
          <w:rFonts w:ascii="微软雅黑" w:eastAsia="微软雅黑" w:hAnsi="微软雅黑" w:hint="eastAsia"/>
          <w:sz w:val="24"/>
          <w:szCs w:val="24"/>
        </w:rPr>
        <w:t>如下安排：</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84079A">
        <w:rPr>
          <w:rStyle w:val="af7"/>
          <w:rFonts w:ascii="微软雅黑" w:eastAsia="微软雅黑" w:hAnsi="微软雅黑" w:hint="eastAsia"/>
          <w:b/>
          <w:bCs/>
          <w:sz w:val="24"/>
          <w:szCs w:val="24"/>
        </w:rPr>
        <w:t>第一</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内地人民法院与香港特别行政区法院就民商事案件相互委托提取证据，适用本安排。</w:t>
      </w:r>
    </w:p>
    <w:p w:rsidR="00D14DE8" w:rsidRPr="000D6F89" w:rsidRDefault="00C723D0" w:rsidP="000D6F89">
      <w:pPr>
        <w:pStyle w:val="ab"/>
        <w:spacing w:line="380" w:lineRule="exact"/>
        <w:ind w:firstLine="480"/>
        <w:rPr>
          <w:rFonts w:ascii="微软雅黑" w:eastAsia="微软雅黑" w:hAnsi="微软雅黑"/>
          <w:sz w:val="24"/>
          <w:szCs w:val="24"/>
        </w:rPr>
      </w:pPr>
      <w:r w:rsidRPr="0084079A">
        <w:rPr>
          <w:rStyle w:val="af7"/>
          <w:rFonts w:ascii="微软雅黑" w:eastAsia="微软雅黑" w:hAnsi="微软雅黑" w:hint="eastAsia"/>
          <w:b/>
          <w:bCs/>
          <w:sz w:val="24"/>
          <w:szCs w:val="24"/>
        </w:rPr>
        <w:t>第二</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双方相互委托提取证据，须通过各自指定的联络机关进行。其中，内地指定各高级人民法院为联络机关；香港特别行政区指定香港特别行政区政府政务司司长办公室辖下行政署为联络机关。</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0D6F89">
        <w:rPr>
          <w:rFonts w:ascii="微软雅黑" w:eastAsia="微软雅黑" w:hAnsi="微软雅黑" w:hint="eastAsia"/>
          <w:sz w:val="24"/>
          <w:szCs w:val="24"/>
        </w:rPr>
        <w:t>最高人民法院可以</w:t>
      </w:r>
      <w:r w:rsidRPr="000D6F89">
        <w:rPr>
          <w:rFonts w:ascii="微软雅黑" w:eastAsia="微软雅黑" w:hAnsi="微软雅黑" w:hint="eastAsia"/>
          <w:sz w:val="24"/>
          <w:szCs w:val="24"/>
        </w:rPr>
        <w:t>直接通过香港特别行政区指定的联络机关委托提取证据。</w:t>
      </w:r>
    </w:p>
    <w:p w:rsidR="00D14DE8" w:rsidRPr="000D6F89" w:rsidRDefault="00C723D0" w:rsidP="000D6F89">
      <w:pPr>
        <w:pStyle w:val="ab"/>
        <w:spacing w:line="380" w:lineRule="exact"/>
        <w:ind w:firstLine="480"/>
        <w:rPr>
          <w:rFonts w:ascii="微软雅黑" w:eastAsia="微软雅黑" w:hAnsi="微软雅黑"/>
          <w:sz w:val="24"/>
          <w:szCs w:val="24"/>
        </w:rPr>
      </w:pPr>
      <w:r w:rsidRPr="0084079A">
        <w:rPr>
          <w:rStyle w:val="af7"/>
          <w:rFonts w:ascii="微软雅黑" w:eastAsia="微软雅黑" w:hAnsi="微软雅黑" w:hint="eastAsia"/>
          <w:b/>
          <w:bCs/>
          <w:sz w:val="24"/>
          <w:szCs w:val="24"/>
        </w:rPr>
        <w:t>第三</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受委托方的联络机关收到对方的委托书后，应当及时将委托书及所附相关材料转送相关法院或者其他机关办理，或者自行办理。</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如果受委托方认为委托材料不符合本辖区相关法律规定，影响其完成受托事项，应当及时通知委托方修改、补充。委托方应当按照受委托方的要求予以修改、补充，或者重新出具委托书。</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0D6F89">
        <w:rPr>
          <w:rFonts w:ascii="微软雅黑" w:eastAsia="微软雅黑" w:hAnsi="微软雅黑" w:hint="eastAsia"/>
          <w:sz w:val="24"/>
          <w:szCs w:val="24"/>
        </w:rPr>
        <w:t>如果受委托方认为受托事项不属于本安排规定的委托事项范围，可以予以退回并说明原因。</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84079A">
        <w:rPr>
          <w:rStyle w:val="af7"/>
          <w:rFonts w:ascii="微软雅黑" w:eastAsia="微软雅黑" w:hAnsi="微软雅黑" w:hint="eastAsia"/>
          <w:b/>
          <w:bCs/>
          <w:sz w:val="24"/>
          <w:szCs w:val="24"/>
        </w:rPr>
        <w:t>第四</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委托书及所附相关材料应当以中文文本提出。没有中文文本的，应当提供中文译本。</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84079A">
        <w:rPr>
          <w:rStyle w:val="af7"/>
          <w:rFonts w:ascii="微软雅黑" w:eastAsia="微软雅黑" w:hAnsi="微软雅黑" w:hint="eastAsia"/>
          <w:b/>
          <w:bCs/>
          <w:sz w:val="24"/>
          <w:szCs w:val="24"/>
        </w:rPr>
        <w:t>第五</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委托方获得的证据材料只能用于委托书所述的相关诉讼。</w:t>
      </w:r>
    </w:p>
    <w:p w:rsidR="00D14DE8" w:rsidRPr="000D6F89" w:rsidRDefault="00C723D0" w:rsidP="000D6F89">
      <w:pPr>
        <w:pStyle w:val="ab"/>
        <w:spacing w:line="380" w:lineRule="exact"/>
        <w:ind w:firstLine="480"/>
        <w:rPr>
          <w:rFonts w:ascii="微软雅黑" w:eastAsia="微软雅黑" w:hAnsi="微软雅黑"/>
          <w:sz w:val="24"/>
          <w:szCs w:val="24"/>
        </w:rPr>
      </w:pPr>
      <w:r w:rsidRPr="0084079A">
        <w:rPr>
          <w:rStyle w:val="af7"/>
          <w:rFonts w:ascii="微软雅黑" w:eastAsia="微软雅黑" w:hAnsi="微软雅黑" w:hint="eastAsia"/>
          <w:b/>
          <w:bCs/>
          <w:sz w:val="24"/>
          <w:szCs w:val="24"/>
        </w:rPr>
        <w:t>第六</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内地人民法院根据本安排委托香港特别行政区法院提取证据的，请求协助的范围包括：</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（一）讯问证人；</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（二）取得文件；</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（三）检查、拍摄、保存、保管或扣留财产；</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（四）取得财产样品或对财产进行试验；</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（五）对人进行身体检验。</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香港特别行政区法院根据本安排委托内地人民法院提取证据的，请求协助的范围包括：</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lastRenderedPageBreak/>
        <w:t>（一）取得当事人的陈述及证人证言；</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（二）提供书证、物证、视听资料及电子数据；</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0D6F89">
        <w:rPr>
          <w:rFonts w:ascii="微软雅黑" w:eastAsia="微软雅黑" w:hAnsi="微软雅黑" w:hint="eastAsia"/>
          <w:sz w:val="24"/>
          <w:szCs w:val="24"/>
        </w:rPr>
        <w:t>（三）勘验、鉴定。</w:t>
      </w:r>
    </w:p>
    <w:p w:rsidR="00D14DE8" w:rsidRPr="000D6F89" w:rsidRDefault="00C723D0" w:rsidP="000D6F89">
      <w:pPr>
        <w:pStyle w:val="ab"/>
        <w:spacing w:line="380" w:lineRule="exact"/>
        <w:ind w:firstLine="480"/>
        <w:rPr>
          <w:rFonts w:ascii="微软雅黑" w:eastAsia="微软雅黑" w:hAnsi="微软雅黑"/>
          <w:sz w:val="24"/>
          <w:szCs w:val="24"/>
        </w:rPr>
      </w:pPr>
      <w:r w:rsidRPr="0084079A">
        <w:rPr>
          <w:rStyle w:val="af7"/>
          <w:rFonts w:ascii="微软雅黑" w:eastAsia="微软雅黑" w:hAnsi="微软雅黑" w:hint="eastAsia"/>
          <w:b/>
          <w:bCs/>
          <w:sz w:val="24"/>
          <w:szCs w:val="24"/>
        </w:rPr>
        <w:t>第七</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受委托方应当根据本辖区法律规定安排取证。</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委托方请求按照特殊方式提取证据的，如果受委托方认为不违反本辖区的法律规定，可以按照委托方请求的方式执行。</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0D6F89">
        <w:rPr>
          <w:rFonts w:ascii="微软雅黑" w:eastAsia="微软雅黑" w:hAnsi="微软雅黑" w:hint="eastAsia"/>
          <w:sz w:val="24"/>
          <w:szCs w:val="24"/>
        </w:rPr>
        <w:t>如果委托方请求其司法人员、有关当事人及其诉讼代理人（法律代表）在受委托方取证时到场，以及参与录取证言的程序，受委托方可以按照其辖区内相关法律规定予以考虑批准。批准同意的，受委托方应当将取证时间、地点通知委托方联络机关。</w:t>
      </w:r>
    </w:p>
    <w:p w:rsidR="00D14DE8" w:rsidRPr="000D6F89" w:rsidRDefault="00C723D0" w:rsidP="000D6F89">
      <w:pPr>
        <w:pStyle w:val="ab"/>
        <w:spacing w:line="380" w:lineRule="exact"/>
        <w:ind w:firstLine="480"/>
        <w:rPr>
          <w:rFonts w:ascii="微软雅黑" w:eastAsia="微软雅黑" w:hAnsi="微软雅黑"/>
          <w:sz w:val="24"/>
          <w:szCs w:val="24"/>
        </w:rPr>
      </w:pPr>
      <w:r w:rsidRPr="0084079A">
        <w:rPr>
          <w:rStyle w:val="af7"/>
          <w:rFonts w:ascii="微软雅黑" w:eastAsia="微软雅黑" w:hAnsi="微软雅黑" w:hint="eastAsia"/>
          <w:b/>
          <w:bCs/>
          <w:sz w:val="24"/>
          <w:szCs w:val="24"/>
        </w:rPr>
        <w:t>第八</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内地人民法院委托香港特别行政区法院提取证据，应当提供加盖最高人民法院或者高级人民法院印章的委托书。香港特别行政区法院委托内地人民法院提取</w:t>
      </w:r>
      <w:r w:rsidRPr="000D6F89">
        <w:rPr>
          <w:rFonts w:ascii="微软雅黑" w:eastAsia="微软雅黑" w:hAnsi="微软雅黑" w:hint="eastAsia"/>
          <w:sz w:val="24"/>
          <w:szCs w:val="24"/>
        </w:rPr>
        <w:t>证据，应当提供加盖香港特别行政区高等法院印章的委托书。</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委托书或者所附相关材料应当写明：</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（一）出具委托书的法院名称和审理相关案件的法院名称；</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（二）与委托事项有关的当事人或者证人的姓名或者名称、地址及其他一切有助于联络及辨别其身份的信息；</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（三）要求提供的协助详情，包括但不限于：与委托事项有关的案件基本情况（包括案情摘要、涉及诉讼的性质及正在进行的审理程序等）；需向当事人或者证人取得的指明文件、物品及</w:t>
      </w:r>
      <w:proofErr w:type="gramStart"/>
      <w:r w:rsidRPr="000D6F89">
        <w:rPr>
          <w:rFonts w:ascii="微软雅黑" w:eastAsia="微软雅黑" w:hAnsi="微软雅黑" w:hint="eastAsia"/>
          <w:sz w:val="24"/>
          <w:szCs w:val="24"/>
        </w:rPr>
        <w:t>询</w:t>
      </w:r>
      <w:proofErr w:type="gramEnd"/>
      <w:r w:rsidRPr="000D6F89">
        <w:rPr>
          <w:rFonts w:ascii="微软雅黑" w:eastAsia="微软雅黑" w:hAnsi="微软雅黑" w:hint="eastAsia"/>
          <w:sz w:val="24"/>
          <w:szCs w:val="24"/>
        </w:rPr>
        <w:t>（讯）问的事项或问题清单；需要委托提取有关证据的原因等；必要时，</w:t>
      </w:r>
      <w:proofErr w:type="gramStart"/>
      <w:r w:rsidRPr="000D6F89">
        <w:rPr>
          <w:rFonts w:ascii="微软雅黑" w:eastAsia="微软雅黑" w:hAnsi="微软雅黑" w:hint="eastAsia"/>
          <w:sz w:val="24"/>
          <w:szCs w:val="24"/>
        </w:rPr>
        <w:t>需陈明有关</w:t>
      </w:r>
      <w:proofErr w:type="gramEnd"/>
      <w:r w:rsidRPr="000D6F89">
        <w:rPr>
          <w:rFonts w:ascii="微软雅黑" w:eastAsia="微软雅黑" w:hAnsi="微软雅黑" w:hint="eastAsia"/>
          <w:sz w:val="24"/>
          <w:szCs w:val="24"/>
        </w:rPr>
        <w:t>证据对诉讼的重要性及用来证实的事实及论点等；</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（四）是否需要采用特殊方式提取证据以及具体要求；</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（五）委托方的联络人及其联络信息；</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0D6F89">
        <w:rPr>
          <w:rFonts w:ascii="微软雅黑" w:eastAsia="微软雅黑" w:hAnsi="微软雅黑" w:hint="eastAsia"/>
          <w:sz w:val="24"/>
          <w:szCs w:val="24"/>
        </w:rPr>
        <w:t>（六）有助执行委托事项的其他一切信息。</w:t>
      </w:r>
    </w:p>
    <w:p w:rsidR="00D14DE8" w:rsidRPr="000D6F89" w:rsidRDefault="00C723D0" w:rsidP="000D6F89">
      <w:pPr>
        <w:pStyle w:val="ab"/>
        <w:spacing w:line="380" w:lineRule="exact"/>
        <w:ind w:firstLine="480"/>
        <w:rPr>
          <w:rFonts w:ascii="微软雅黑" w:eastAsia="微软雅黑" w:hAnsi="微软雅黑"/>
          <w:sz w:val="24"/>
          <w:szCs w:val="24"/>
        </w:rPr>
      </w:pPr>
      <w:r w:rsidRPr="0084079A">
        <w:rPr>
          <w:rStyle w:val="af7"/>
          <w:rFonts w:ascii="微软雅黑" w:eastAsia="微软雅黑" w:hAnsi="微软雅黑" w:hint="eastAsia"/>
          <w:b/>
          <w:bCs/>
          <w:sz w:val="24"/>
          <w:szCs w:val="24"/>
        </w:rPr>
        <w:t>第九</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受委托方因执行受托事项产生的一般性开支，由受委托方承担。</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受委托方因执行受托事项产生的翻译费</w:t>
      </w:r>
      <w:r w:rsidRPr="000D6F89">
        <w:rPr>
          <w:rFonts w:ascii="微软雅黑" w:eastAsia="微软雅黑" w:hAnsi="微软雅黑" w:hint="eastAsia"/>
          <w:sz w:val="24"/>
          <w:szCs w:val="24"/>
        </w:rPr>
        <w:t>用、专家费用、鉴定费用、应委托方要求的特殊方式取证所产生的额外费用等非一般性开支，由委托方承担。</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0D6F89">
        <w:rPr>
          <w:rFonts w:ascii="微软雅黑" w:eastAsia="微软雅黑" w:hAnsi="微软雅黑" w:hint="eastAsia"/>
          <w:sz w:val="24"/>
          <w:szCs w:val="24"/>
        </w:rPr>
        <w:t>如果受委托方认为执行受托事项或会引起非一般性开支，应先与委托方协商，以决定是否继续执行受托事项。</w:t>
      </w:r>
    </w:p>
    <w:p w:rsidR="00D14DE8" w:rsidRPr="000D6F89" w:rsidRDefault="00C723D0" w:rsidP="000D6F89">
      <w:pPr>
        <w:pStyle w:val="ab"/>
        <w:spacing w:line="380" w:lineRule="exact"/>
        <w:ind w:firstLine="480"/>
        <w:rPr>
          <w:rFonts w:ascii="微软雅黑" w:eastAsia="微软雅黑" w:hAnsi="微软雅黑"/>
          <w:sz w:val="24"/>
          <w:szCs w:val="24"/>
        </w:rPr>
      </w:pPr>
      <w:r w:rsidRPr="0084079A">
        <w:rPr>
          <w:rStyle w:val="af7"/>
          <w:rFonts w:ascii="微软雅黑" w:eastAsia="微软雅黑" w:hAnsi="微软雅黑" w:hint="eastAsia"/>
          <w:b/>
          <w:bCs/>
          <w:sz w:val="24"/>
          <w:szCs w:val="24"/>
        </w:rPr>
        <w:t>第十</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受委托方应当尽量自收到委托书之日起六个月内完成受托事项。受委托方完成受托事项后，应当及时书面回复委托方。</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如果受委托方未能按委托方的请求</w:t>
      </w:r>
      <w:bookmarkStart w:id="0" w:name="_GoBack"/>
      <w:bookmarkEnd w:id="0"/>
      <w:r w:rsidRPr="000D6F89">
        <w:rPr>
          <w:rFonts w:ascii="微软雅黑" w:eastAsia="微软雅黑" w:hAnsi="微软雅黑" w:hint="eastAsia"/>
          <w:sz w:val="24"/>
          <w:szCs w:val="24"/>
        </w:rPr>
        <w:t>完成受托事项，或者只能部分完成受托事项，应当向委托方书面说明原因，并按委托方指示及时退回委托书所附全部或者部分材料。</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0D6F89">
        <w:rPr>
          <w:rFonts w:ascii="微软雅黑" w:eastAsia="微软雅黑" w:hAnsi="微软雅黑" w:hint="eastAsia"/>
          <w:sz w:val="24"/>
          <w:szCs w:val="24"/>
        </w:rPr>
        <w:t>如果证人根据受委托方的法律规定，拒绝提供证言时，受委托</w:t>
      </w:r>
      <w:r w:rsidRPr="000D6F89">
        <w:rPr>
          <w:rFonts w:ascii="微软雅黑" w:eastAsia="微软雅黑" w:hAnsi="微软雅黑" w:hint="eastAsia"/>
          <w:sz w:val="24"/>
          <w:szCs w:val="24"/>
        </w:rPr>
        <w:t>方应当以书面通知委托方，并按委托方指示退回委托书所附全部材料。</w:t>
      </w:r>
    </w:p>
    <w:p w:rsidR="00D14DE8" w:rsidRPr="000D6F89" w:rsidRDefault="00C723D0" w:rsidP="000D6F89">
      <w:pPr>
        <w:pStyle w:val="ab"/>
        <w:spacing w:line="380" w:lineRule="exact"/>
        <w:ind w:firstLine="480"/>
        <w:rPr>
          <w:rStyle w:val="af7"/>
          <w:rFonts w:ascii="微软雅黑" w:eastAsia="微软雅黑" w:hAnsi="微软雅黑"/>
          <w:sz w:val="24"/>
          <w:szCs w:val="24"/>
        </w:rPr>
      </w:pPr>
      <w:r w:rsidRPr="0084079A">
        <w:rPr>
          <w:rStyle w:val="af7"/>
          <w:rFonts w:ascii="微软雅黑" w:eastAsia="微软雅黑" w:hAnsi="微软雅黑" w:hint="eastAsia"/>
          <w:b/>
          <w:bCs/>
          <w:sz w:val="24"/>
          <w:szCs w:val="24"/>
        </w:rPr>
        <w:t>第十一</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本安排在执行过程中遇有问题，或者本安排需要修改，应当通过最高人民法院与香港特别行政区政府协商解决。</w:t>
      </w:r>
    </w:p>
    <w:p w:rsidR="00D14DE8" w:rsidRPr="000D6F89" w:rsidRDefault="00C723D0" w:rsidP="000D6F89">
      <w:pPr>
        <w:pStyle w:val="ab"/>
        <w:spacing w:line="380" w:lineRule="exact"/>
        <w:ind w:firstLine="480"/>
        <w:rPr>
          <w:rFonts w:ascii="微软雅黑" w:eastAsia="微软雅黑" w:hAnsi="微软雅黑"/>
          <w:sz w:val="24"/>
          <w:szCs w:val="24"/>
        </w:rPr>
      </w:pPr>
      <w:r w:rsidRPr="0084079A">
        <w:rPr>
          <w:rStyle w:val="af7"/>
          <w:rFonts w:ascii="微软雅黑" w:eastAsia="微软雅黑" w:hAnsi="微软雅黑" w:hint="eastAsia"/>
          <w:b/>
          <w:bCs/>
          <w:sz w:val="24"/>
          <w:szCs w:val="24"/>
        </w:rPr>
        <w:t>第十二</w:t>
      </w:r>
      <w:r w:rsidRPr="0084079A">
        <w:rPr>
          <w:rStyle w:val="af7"/>
          <w:rFonts w:ascii="微软雅黑" w:eastAsia="微软雅黑" w:hAnsi="微软雅黑" w:hint="eastAsia"/>
          <w:b/>
          <w:bCs/>
          <w:sz w:val="24"/>
          <w:szCs w:val="24"/>
        </w:rPr>
        <w:t>条</w:t>
      </w:r>
      <w:r w:rsidRPr="000D6F89">
        <w:rPr>
          <w:rFonts w:ascii="微软雅黑" w:eastAsia="微软雅黑" w:hAnsi="微软雅黑" w:hint="eastAsia"/>
          <w:sz w:val="24"/>
          <w:szCs w:val="24"/>
        </w:rPr>
        <w:t xml:space="preserve">　</w:t>
      </w:r>
      <w:r w:rsidRPr="000D6F89">
        <w:rPr>
          <w:rFonts w:ascii="微软雅黑" w:eastAsia="微软雅黑" w:hAnsi="微软雅黑" w:hint="eastAsia"/>
          <w:sz w:val="24"/>
          <w:szCs w:val="24"/>
        </w:rPr>
        <w:t>本安排在内地由最高人民法院发布司法解释和香港特别行政区完成有关内部程序后，由双方公布生效日期。</w:t>
      </w:r>
    </w:p>
    <w:p w:rsidR="00D14DE8" w:rsidRPr="000D6F89" w:rsidRDefault="00C723D0" w:rsidP="000D6F89">
      <w:pPr>
        <w:pStyle w:val="ab"/>
        <w:spacing w:line="380" w:lineRule="exact"/>
        <w:ind w:firstLine="480"/>
        <w:rPr>
          <w:rFonts w:ascii="微软雅黑" w:eastAsia="微软雅黑" w:hAnsi="微软雅黑"/>
          <w:sz w:val="24"/>
          <w:szCs w:val="24"/>
        </w:rPr>
      </w:pPr>
      <w:r w:rsidRPr="000D6F89">
        <w:rPr>
          <w:rFonts w:ascii="微软雅黑" w:eastAsia="微软雅黑" w:hAnsi="微软雅黑" w:hint="eastAsia"/>
          <w:sz w:val="24"/>
          <w:szCs w:val="24"/>
        </w:rPr>
        <w:t>本安排适用于受委托方在本安排生效后收到的委托事项，但不影响双方根据现行法律考虑及执行在本安排生效前收到的委托事项。</w:t>
      </w:r>
    </w:p>
    <w:sectPr w:rsidR="00D14DE8" w:rsidRPr="000D6F89" w:rsidSect="000D6F89">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3D0" w:rsidRDefault="00C723D0">
      <w:r>
        <w:separator/>
      </w:r>
    </w:p>
  </w:endnote>
  <w:endnote w:type="continuationSeparator" w:id="0">
    <w:p w:rsidR="00C723D0" w:rsidRDefault="00C7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DE8" w:rsidRDefault="00C723D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4DE8" w:rsidRDefault="00C723D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14DE8" w:rsidRDefault="00C723D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DE8" w:rsidRDefault="00C723D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4DE8" w:rsidRDefault="00C723D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D14DE8" w:rsidRDefault="00C723D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3D0" w:rsidRDefault="00C723D0">
      <w:r>
        <w:separator/>
      </w:r>
    </w:p>
  </w:footnote>
  <w:footnote w:type="continuationSeparator" w:id="0">
    <w:p w:rsidR="00C723D0" w:rsidRDefault="00C72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6F36F7F"/>
    <w:rsid w:val="000D6F89"/>
    <w:rsid w:val="00323D76"/>
    <w:rsid w:val="0084079A"/>
    <w:rsid w:val="00C723D0"/>
    <w:rsid w:val="00D14DE8"/>
    <w:rsid w:val="02380A4E"/>
    <w:rsid w:val="02C54CFB"/>
    <w:rsid w:val="042F174E"/>
    <w:rsid w:val="04B97DBC"/>
    <w:rsid w:val="0751543E"/>
    <w:rsid w:val="0BE369DE"/>
    <w:rsid w:val="0F9D48A9"/>
    <w:rsid w:val="0FC66F39"/>
    <w:rsid w:val="135B4974"/>
    <w:rsid w:val="16F36F7F"/>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FA23EB7"/>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0628A"/>
  <w15:docId w15:val="{16CB4EDD-9CBF-4288-A426-E1BDE26C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2017-11-09T08:51:00Z</dcterms:created>
  <dcterms:modified xsi:type="dcterms:W3CDTF">2025-11-18T04:13:00Z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